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B6" w:rsidRDefault="009B61B9">
      <w:pPr>
        <w:rPr>
          <w:b/>
        </w:rPr>
      </w:pPr>
      <w:r>
        <w:rPr>
          <w:b/>
        </w:rPr>
        <w:t xml:space="preserve">ADRIENNE WING: </w:t>
      </w:r>
      <w:r w:rsidR="005045EB" w:rsidRPr="005045EB">
        <w:rPr>
          <w:b/>
        </w:rPr>
        <w:t>Profile for Chambers</w:t>
      </w:r>
    </w:p>
    <w:p w:rsidR="002B6A44" w:rsidRDefault="002B6A44">
      <w:pPr>
        <w:rPr>
          <w:b/>
        </w:rPr>
      </w:pPr>
    </w:p>
    <w:tbl>
      <w:tblPr>
        <w:tblW w:w="44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</w:tblGrid>
      <w:tr w:rsidR="002B6A44" w:rsidRPr="002B6A44" w:rsidTr="00480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2B6A44" w:rsidRPr="002B6A44" w:rsidRDefault="002B6A44" w:rsidP="002B6A44">
            <w:pPr>
              <w:spacing w:after="0" w:line="240" w:lineRule="atLeast"/>
              <w:rPr>
                <w:rFonts w:ascii="Arial" w:eastAsia="Times New Roman" w:hAnsi="Arial" w:cs="Arial"/>
                <w:color w:val="5A5A5A"/>
                <w:sz w:val="18"/>
                <w:szCs w:val="18"/>
                <w:lang w:eastAsia="en-NZ"/>
              </w:rPr>
            </w:pPr>
            <w:r w:rsidRPr="002B6A44">
              <w:rPr>
                <w:rFonts w:ascii="Arial" w:eastAsia="Times New Roman" w:hAnsi="Arial" w:cs="Arial"/>
                <w:noProof/>
                <w:color w:val="5A5A5A"/>
                <w:sz w:val="18"/>
                <w:szCs w:val="18"/>
                <w:lang w:eastAsia="en-NZ"/>
              </w:rPr>
              <w:drawing>
                <wp:inline distT="0" distB="0" distL="0" distR="0">
                  <wp:extent cx="2096135" cy="137795"/>
                  <wp:effectExtent l="0" t="0" r="0" b="0"/>
                  <wp:docPr id="6" name="Picture 6" descr="http://www.southerncrosschambers.co.nz/images/gen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utherncrosschambers.co.nz/images/gen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44" w:rsidRPr="002B6A44" w:rsidTr="0048040C">
        <w:trPr>
          <w:tblCellSpacing w:w="0" w:type="dxa"/>
        </w:trPr>
        <w:tc>
          <w:tcPr>
            <w:tcW w:w="0" w:type="auto"/>
            <w:shd w:val="clear" w:color="auto" w:fill="E7EEF3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3660"/>
            </w:tblGrid>
            <w:tr w:rsidR="002B6A44" w:rsidRPr="002B6A44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2B6A44" w:rsidRPr="002B6A44" w:rsidRDefault="002B6A44" w:rsidP="002B6A44">
                  <w:pPr>
                    <w:spacing w:before="100" w:beforeAutospacing="1" w:after="100" w:afterAutospacing="1" w:line="240" w:lineRule="atLeast"/>
                    <w:outlineLvl w:val="5"/>
                    <w:rPr>
                      <w:rFonts w:ascii="Arial" w:eastAsia="Times New Roman" w:hAnsi="Arial" w:cs="Arial"/>
                      <w:color w:val="5A5A5A"/>
                      <w:sz w:val="18"/>
                      <w:szCs w:val="18"/>
                      <w:lang w:eastAsia="en-NZ"/>
                    </w:rPr>
                  </w:pPr>
                  <w:r w:rsidRPr="002B6A44">
                    <w:rPr>
                      <w:rFonts w:ascii="Arial" w:eastAsia="Times New Roman" w:hAnsi="Arial" w:cs="Arial"/>
                      <w:i/>
                      <w:iCs/>
                      <w:color w:val="5A5A5A"/>
                      <w:sz w:val="18"/>
                      <w:szCs w:val="18"/>
                      <w:lang w:eastAsia="en-NZ"/>
                    </w:rPr>
                    <w:t xml:space="preserve">Email: 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B6A44" w:rsidRPr="002B6A44" w:rsidRDefault="002B6A44" w:rsidP="002B6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A5A5A"/>
                      <w:sz w:val="18"/>
                      <w:szCs w:val="18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5184"/>
                      <w:sz w:val="24"/>
                      <w:szCs w:val="24"/>
                      <w:u w:val="single"/>
                      <w:lang w:eastAsia="en-NZ"/>
                    </w:rPr>
                    <w:t>adriennew@southernxchambers.co.nz</w:t>
                  </w:r>
                </w:p>
              </w:tc>
            </w:tr>
          </w:tbl>
          <w:p w:rsidR="002B6A44" w:rsidRPr="002B6A44" w:rsidRDefault="002B6A44" w:rsidP="002B6A44">
            <w:pPr>
              <w:spacing w:after="0" w:line="240" w:lineRule="atLeast"/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</w:pPr>
          </w:p>
        </w:tc>
      </w:tr>
      <w:tr w:rsidR="002B6A44" w:rsidRPr="002B6A44" w:rsidTr="0048040C">
        <w:trPr>
          <w:tblCellSpacing w:w="0" w:type="dxa"/>
        </w:trPr>
        <w:tc>
          <w:tcPr>
            <w:tcW w:w="0" w:type="auto"/>
            <w:shd w:val="clear" w:color="auto" w:fill="E7EEF3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3121"/>
            </w:tblGrid>
            <w:tr w:rsidR="002B6A44" w:rsidRPr="002B6A44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2B6A44" w:rsidRPr="002B6A44" w:rsidRDefault="002B6A44" w:rsidP="002B6A44">
                  <w:pPr>
                    <w:spacing w:before="100" w:beforeAutospacing="1" w:after="100" w:afterAutospacing="1" w:line="240" w:lineRule="atLeast"/>
                    <w:outlineLvl w:val="5"/>
                    <w:rPr>
                      <w:rFonts w:ascii="Arial" w:eastAsia="Times New Roman" w:hAnsi="Arial" w:cs="Arial"/>
                      <w:color w:val="5A5A5A"/>
                      <w:sz w:val="18"/>
                      <w:szCs w:val="18"/>
                      <w:lang w:eastAsia="en-NZ"/>
                    </w:rPr>
                  </w:pPr>
                  <w:r w:rsidRPr="002B6A44">
                    <w:rPr>
                      <w:rFonts w:ascii="Arial" w:eastAsia="Times New Roman" w:hAnsi="Arial" w:cs="Arial"/>
                      <w:i/>
                      <w:iCs/>
                      <w:color w:val="5A5A5A"/>
                      <w:sz w:val="18"/>
                      <w:szCs w:val="18"/>
                      <w:lang w:eastAsia="en-NZ"/>
                    </w:rPr>
                    <w:t xml:space="preserve">Mobile: 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B6A44" w:rsidRPr="002B6A44" w:rsidRDefault="002B6A44" w:rsidP="00853E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A5A5A"/>
                      <w:sz w:val="18"/>
                      <w:szCs w:val="18"/>
                      <w:lang w:eastAsia="en-NZ"/>
                    </w:rPr>
                  </w:pPr>
                  <w:r w:rsidRPr="002B6A44">
                    <w:rPr>
                      <w:rFonts w:ascii="Arial" w:eastAsia="Times New Roman" w:hAnsi="Arial" w:cs="Arial"/>
                      <w:color w:val="5A5A5A"/>
                      <w:sz w:val="18"/>
                      <w:szCs w:val="18"/>
                      <w:lang w:eastAsia="en-NZ"/>
                    </w:rPr>
                    <w:t xml:space="preserve">+64 21 </w:t>
                  </w:r>
                  <w:r w:rsidR="00853ED4">
                    <w:rPr>
                      <w:rFonts w:ascii="Arial" w:eastAsia="Times New Roman" w:hAnsi="Arial" w:cs="Arial"/>
                      <w:color w:val="5A5A5A"/>
                      <w:sz w:val="18"/>
                      <w:szCs w:val="18"/>
                      <w:lang w:eastAsia="en-NZ"/>
                    </w:rPr>
                    <w:t>192 9511</w:t>
                  </w:r>
                </w:p>
              </w:tc>
            </w:tr>
          </w:tbl>
          <w:p w:rsidR="002B6A44" w:rsidRPr="002B6A44" w:rsidRDefault="002B6A44" w:rsidP="002B6A44">
            <w:pPr>
              <w:spacing w:after="0" w:line="240" w:lineRule="atLeast"/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</w:pPr>
          </w:p>
        </w:tc>
      </w:tr>
      <w:tr w:rsidR="002B6A44" w:rsidRPr="002B6A44" w:rsidTr="0048040C">
        <w:trPr>
          <w:tblCellSpacing w:w="0" w:type="dxa"/>
        </w:trPr>
        <w:tc>
          <w:tcPr>
            <w:tcW w:w="0" w:type="auto"/>
            <w:shd w:val="clear" w:color="auto" w:fill="E7EEF3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B6A44" w:rsidRPr="002B6A44" w:rsidRDefault="002B6A44" w:rsidP="002B6A44">
            <w:pPr>
              <w:spacing w:after="0" w:line="240" w:lineRule="atLeast"/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</w:pPr>
            <w:r w:rsidRPr="002B6A44">
              <w:rPr>
                <w:rFonts w:ascii="Arial" w:eastAsia="Times New Roman" w:hAnsi="Arial" w:cs="Arial"/>
                <w:noProof/>
                <w:color w:val="005184"/>
                <w:sz w:val="18"/>
                <w:szCs w:val="18"/>
                <w:lang w:eastAsia="en-NZ"/>
              </w:rPr>
              <w:drawing>
                <wp:inline distT="0" distB="0" distL="0" distR="0">
                  <wp:extent cx="1906270" cy="103505"/>
                  <wp:effectExtent l="0" t="0" r="0" b="0"/>
                  <wp:docPr id="2" name="Picture 2" descr="http://www.southerncrosschambers.co.nz/images/gen/blue_rule_2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utherncrosschambers.co.nz/images/gen/blue_rule_2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44" w:rsidRPr="002B6A44" w:rsidTr="0048040C">
        <w:trPr>
          <w:tblCellSpacing w:w="0" w:type="dxa"/>
        </w:trPr>
        <w:tc>
          <w:tcPr>
            <w:tcW w:w="0" w:type="auto"/>
            <w:shd w:val="clear" w:color="auto" w:fill="E7EEF3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2129" w:rsidRDefault="00DA2129" w:rsidP="002B6A44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5A5A5A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i/>
                <w:iCs/>
                <w:color w:val="5A5A5A"/>
                <w:sz w:val="18"/>
                <w:szCs w:val="18"/>
                <w:lang w:eastAsia="en-NZ"/>
              </w:rPr>
              <w:t>Address:</w:t>
            </w:r>
          </w:p>
          <w:p w:rsidR="002B6A44" w:rsidRPr="002B6A44" w:rsidRDefault="002B6A44" w:rsidP="00445E1C">
            <w:pPr>
              <w:spacing w:after="0" w:line="240" w:lineRule="atLeast"/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</w:pP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t>S</w:t>
            </w:r>
            <w:r w:rsidR="00445E1C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t>outhern Cross Chambers</w:t>
            </w: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br/>
              <w:t>Southern Cross Building</w:t>
            </w: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br/>
              <w:t>Corner Victoria &amp; High Streets</w:t>
            </w: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br/>
              <w:t xml:space="preserve">Auckland CBD </w:t>
            </w:r>
          </w:p>
        </w:tc>
      </w:tr>
      <w:tr w:rsidR="002B6A44" w:rsidRPr="002B6A44" w:rsidTr="0048040C">
        <w:trPr>
          <w:tblCellSpacing w:w="0" w:type="dxa"/>
        </w:trPr>
        <w:tc>
          <w:tcPr>
            <w:tcW w:w="0" w:type="auto"/>
            <w:shd w:val="clear" w:color="auto" w:fill="E7EEF3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B6A44" w:rsidRPr="002B6A44" w:rsidRDefault="002B6A44" w:rsidP="002B6A44">
            <w:pPr>
              <w:spacing w:after="0" w:line="240" w:lineRule="atLeast"/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</w:pPr>
            <w:r w:rsidRPr="002B6A44">
              <w:rPr>
                <w:rFonts w:ascii="Arial" w:eastAsia="Times New Roman" w:hAnsi="Arial" w:cs="Arial"/>
                <w:noProof/>
                <w:color w:val="005184"/>
                <w:sz w:val="18"/>
                <w:szCs w:val="18"/>
                <w:lang w:eastAsia="en-NZ"/>
              </w:rPr>
              <w:drawing>
                <wp:inline distT="0" distB="0" distL="0" distR="0">
                  <wp:extent cx="1906270" cy="103505"/>
                  <wp:effectExtent l="0" t="0" r="0" b="0"/>
                  <wp:docPr id="1" name="Picture 1" descr="http://www.southerncrosschambers.co.nz/images/gen/blue_rule_2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utherncrosschambers.co.nz/images/gen/blue_rule_2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44" w:rsidRPr="002B6A44" w:rsidTr="0048040C">
        <w:trPr>
          <w:tblCellSpacing w:w="0" w:type="dxa"/>
        </w:trPr>
        <w:tc>
          <w:tcPr>
            <w:tcW w:w="0" w:type="auto"/>
            <w:shd w:val="clear" w:color="auto" w:fill="E7EEF3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8040C" w:rsidRDefault="002B6A44" w:rsidP="0048040C">
            <w:pPr>
              <w:spacing w:after="0" w:line="240" w:lineRule="atLeast"/>
              <w:outlineLvl w:val="5"/>
              <w:rPr>
                <w:rFonts w:ascii="Arial" w:eastAsia="Times New Roman" w:hAnsi="Arial" w:cs="Arial"/>
                <w:color w:val="5A5A5A"/>
                <w:sz w:val="18"/>
                <w:szCs w:val="18"/>
                <w:lang w:eastAsia="en-NZ"/>
              </w:rPr>
            </w:pPr>
            <w:r w:rsidRPr="002B6A44">
              <w:rPr>
                <w:rFonts w:ascii="Arial" w:eastAsia="Times New Roman" w:hAnsi="Arial" w:cs="Arial"/>
                <w:i/>
                <w:iCs/>
                <w:color w:val="5A5A5A"/>
                <w:sz w:val="18"/>
                <w:szCs w:val="18"/>
                <w:lang w:eastAsia="en-NZ"/>
              </w:rPr>
              <w:t>Post:</w:t>
            </w:r>
          </w:p>
          <w:p w:rsidR="002B6A44" w:rsidRPr="00445E1C" w:rsidRDefault="002B6A44" w:rsidP="0048040C">
            <w:pPr>
              <w:spacing w:after="0" w:line="240" w:lineRule="atLeast"/>
              <w:outlineLvl w:val="5"/>
              <w:rPr>
                <w:rFonts w:ascii="Arial" w:eastAsia="Times New Roman" w:hAnsi="Arial" w:cs="Arial"/>
                <w:color w:val="5A5A5A"/>
                <w:sz w:val="18"/>
                <w:szCs w:val="18"/>
                <w:lang w:eastAsia="en-NZ"/>
              </w:rPr>
            </w:pP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t>PO Box 5444</w:t>
            </w: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br/>
              <w:t>Wellesley Street</w:t>
            </w:r>
            <w:r w:rsidRPr="002B6A44">
              <w:rPr>
                <w:rFonts w:ascii="Arial" w:eastAsia="Times New Roman" w:hAnsi="Arial" w:cs="Arial"/>
                <w:color w:val="005184"/>
                <w:sz w:val="18"/>
                <w:szCs w:val="18"/>
                <w:lang w:eastAsia="en-NZ"/>
              </w:rPr>
              <w:br/>
              <w:t xml:space="preserve">Auckland 1141 </w:t>
            </w:r>
          </w:p>
        </w:tc>
      </w:tr>
    </w:tbl>
    <w:p w:rsidR="002B6A44" w:rsidRPr="005045EB" w:rsidRDefault="002B6A44">
      <w:pPr>
        <w:rPr>
          <w:b/>
        </w:rPr>
      </w:pPr>
    </w:p>
    <w:p w:rsidR="005045EB" w:rsidRDefault="005045EB"/>
    <w:p w:rsidR="00A550A4" w:rsidRDefault="00A550A4">
      <w:bookmarkStart w:id="0" w:name="_GoBack"/>
      <w:bookmarkEnd w:id="0"/>
      <w:r w:rsidRPr="00A550A4">
        <w:t>Adrienne</w:t>
      </w:r>
      <w:r>
        <w:t xml:space="preserve"> </w:t>
      </w:r>
      <w:r w:rsidR="004D7568">
        <w:t xml:space="preserve">has been practising law since </w:t>
      </w:r>
      <w:r w:rsidR="002A4570">
        <w:t xml:space="preserve">1994, and </w:t>
      </w:r>
      <w:r w:rsidR="00B73E4F">
        <w:t>joined the independent bar as a Barrister</w:t>
      </w:r>
      <w:r w:rsidR="00320BF3">
        <w:t xml:space="preserve"> in 2009</w:t>
      </w:r>
      <w:r w:rsidR="00A91A3C">
        <w:t>, on joining</w:t>
      </w:r>
      <w:r w:rsidR="008E75A0">
        <w:t xml:space="preserve"> </w:t>
      </w:r>
      <w:r>
        <w:t>Southern Cross Chambers</w:t>
      </w:r>
      <w:r w:rsidR="00320BF3">
        <w:t>.</w:t>
      </w:r>
    </w:p>
    <w:p w:rsidR="008113E7" w:rsidRDefault="00580220" w:rsidP="00A550A4">
      <w:pPr>
        <w:spacing w:before="100" w:beforeAutospacing="1" w:after="100" w:afterAutospacing="1" w:line="240" w:lineRule="atLeast"/>
      </w:pPr>
      <w:r>
        <w:t>Adrienne has experience acting for a wide range of clients</w:t>
      </w:r>
      <w:r w:rsidR="00AE214E">
        <w:t xml:space="preserve"> in the private and public sectors</w:t>
      </w:r>
      <w:r w:rsidR="00BA79FB">
        <w:t>, both</w:t>
      </w:r>
      <w:r w:rsidR="00FB47AA">
        <w:t xml:space="preserve"> </w:t>
      </w:r>
      <w:r w:rsidR="001B5397">
        <w:t xml:space="preserve">for corporates </w:t>
      </w:r>
      <w:r>
        <w:t xml:space="preserve">and individuals. </w:t>
      </w:r>
      <w:r w:rsidR="00351104">
        <w:t xml:space="preserve">She has </w:t>
      </w:r>
      <w:r w:rsidR="002A4570">
        <w:t xml:space="preserve">practised in both New Zealand and Australia, </w:t>
      </w:r>
      <w:r w:rsidR="00351104">
        <w:t xml:space="preserve">working for law </w:t>
      </w:r>
      <w:r w:rsidR="002A4570">
        <w:t>firms Simpson Grierson (Aucklan</w:t>
      </w:r>
      <w:r w:rsidR="00351104">
        <w:t>d) and Gilbert &amp; Tobin (Sydney); and as in hous</w:t>
      </w:r>
      <w:r w:rsidR="00433BF1">
        <w:t xml:space="preserve">e counsel for </w:t>
      </w:r>
      <w:proofErr w:type="spellStart"/>
      <w:r w:rsidR="00433BF1">
        <w:t>TelstraClear</w:t>
      </w:r>
      <w:proofErr w:type="spellEnd"/>
      <w:r w:rsidR="00433BF1">
        <w:t xml:space="preserve"> and </w:t>
      </w:r>
      <w:r w:rsidR="00351104">
        <w:t>Senior Legal Counsel for the Commerce Commission</w:t>
      </w:r>
      <w:r w:rsidR="003940D7">
        <w:t>.</w:t>
      </w:r>
    </w:p>
    <w:p w:rsidR="008113E7" w:rsidRDefault="008113E7" w:rsidP="00A550A4">
      <w:pPr>
        <w:spacing w:before="100" w:beforeAutospacing="1" w:after="100" w:afterAutospacing="1" w:line="240" w:lineRule="atLeast"/>
      </w:pPr>
      <w:r>
        <w:t>She is experi</w:t>
      </w:r>
      <w:r w:rsidR="00B93C59">
        <w:t xml:space="preserve">enced in both prosecution work </w:t>
      </w:r>
      <w:r w:rsidR="00414569">
        <w:t xml:space="preserve">(as </w:t>
      </w:r>
      <w:r w:rsidR="005D463B">
        <w:t>Senior Legal Counsel at</w:t>
      </w:r>
      <w:r>
        <w:t xml:space="preserve"> the Commerce Commission) and defence work (as a criminal barrister).</w:t>
      </w:r>
    </w:p>
    <w:p w:rsidR="008113E7" w:rsidRDefault="008113E7" w:rsidP="008113E7">
      <w:pPr>
        <w:spacing w:before="100" w:beforeAutospacing="1" w:after="100" w:afterAutospacing="1" w:line="240" w:lineRule="atLeast"/>
      </w:pPr>
      <w:r>
        <w:t>Adrienne also has experience in the public sector in the area of social policy and advice, restructuring and privatisation</w:t>
      </w:r>
      <w:r w:rsidR="00204F56">
        <w:t xml:space="preserve"> issues</w:t>
      </w:r>
      <w:r>
        <w:t>, and government administration.</w:t>
      </w:r>
    </w:p>
    <w:p w:rsidR="005045EB" w:rsidRDefault="005045EB">
      <w:pPr>
        <w:rPr>
          <w:b/>
        </w:rPr>
      </w:pPr>
      <w:r w:rsidRPr="005045EB">
        <w:rPr>
          <w:b/>
        </w:rPr>
        <w:t xml:space="preserve">Area of </w:t>
      </w:r>
      <w:r w:rsidR="00160781">
        <w:rPr>
          <w:b/>
        </w:rPr>
        <w:t xml:space="preserve">practice and </w:t>
      </w:r>
      <w:r w:rsidRPr="005045EB">
        <w:rPr>
          <w:b/>
        </w:rPr>
        <w:t>expertise</w:t>
      </w:r>
    </w:p>
    <w:p w:rsidR="00402068" w:rsidRDefault="00402068">
      <w:r>
        <w:t>Civil litigation</w:t>
      </w:r>
    </w:p>
    <w:p w:rsidR="00505403" w:rsidRDefault="00505403">
      <w:r>
        <w:t>Contract disputes</w:t>
      </w:r>
    </w:p>
    <w:p w:rsidR="00402068" w:rsidRDefault="00402068">
      <w:r w:rsidRPr="00402068">
        <w:t>Competition</w:t>
      </w:r>
      <w:r>
        <w:t xml:space="preserve"> law</w:t>
      </w:r>
      <w:r w:rsidR="00505403">
        <w:t>, trade practices</w:t>
      </w:r>
      <w:r w:rsidR="008C7D6F">
        <w:t xml:space="preserve"> and regulatory</w:t>
      </w:r>
    </w:p>
    <w:p w:rsidR="00402068" w:rsidRDefault="00402068">
      <w:r>
        <w:t>Consumer law</w:t>
      </w:r>
    </w:p>
    <w:p w:rsidR="00D412A7" w:rsidRDefault="00D412A7" w:rsidP="00D412A7">
      <w:r>
        <w:t>Criminal (including traffic and limited licences)</w:t>
      </w:r>
    </w:p>
    <w:p w:rsidR="00402068" w:rsidRDefault="00402068">
      <w:r>
        <w:t>Employment</w:t>
      </w:r>
      <w:r w:rsidR="003841EF">
        <w:t xml:space="preserve"> law</w:t>
      </w:r>
      <w:r w:rsidR="004053D5">
        <w:t xml:space="preserve"> (including personal grievances, </w:t>
      </w:r>
      <w:r w:rsidR="00E17884">
        <w:t>restraint of trade</w:t>
      </w:r>
      <w:r w:rsidR="00782F4B">
        <w:t>)</w:t>
      </w:r>
    </w:p>
    <w:p w:rsidR="00D83C34" w:rsidRDefault="00D83C34">
      <w:r>
        <w:t>Public law</w:t>
      </w:r>
      <w:r w:rsidR="006D07CA">
        <w:t xml:space="preserve"> </w:t>
      </w:r>
      <w:r w:rsidR="00814352">
        <w:t>(</w:t>
      </w:r>
      <w:r w:rsidR="006D07CA">
        <w:t>including</w:t>
      </w:r>
      <w:r w:rsidR="00814352">
        <w:t xml:space="preserve"> judicial review and administrative law,</w:t>
      </w:r>
      <w:r w:rsidR="006D07CA">
        <w:t xml:space="preserve"> </w:t>
      </w:r>
      <w:r w:rsidR="00696E9B">
        <w:t xml:space="preserve">government administration, </w:t>
      </w:r>
      <w:r w:rsidR="006D07CA">
        <w:t>official information and privacy law</w:t>
      </w:r>
      <w:r w:rsidR="00814352">
        <w:t>)</w:t>
      </w:r>
    </w:p>
    <w:p w:rsidR="00B44173" w:rsidRDefault="00B44173">
      <w:r>
        <w:t>Privacy and confidentiality issues</w:t>
      </w:r>
    </w:p>
    <w:p w:rsidR="00E17884" w:rsidRDefault="00E17884">
      <w:r>
        <w:t>Alternative dispute resolution</w:t>
      </w:r>
      <w:r w:rsidR="00D06916">
        <w:t xml:space="preserve"> (mediation and arbitration)</w:t>
      </w:r>
    </w:p>
    <w:p w:rsidR="00242CCD" w:rsidRDefault="00814352">
      <w:r>
        <w:lastRenderedPageBreak/>
        <w:t>Elder law (including residential home/retirement v</w:t>
      </w:r>
      <w:r w:rsidR="00242CCD">
        <w:t>illage</w:t>
      </w:r>
      <w:r>
        <w:t xml:space="preserve"> issues)</w:t>
      </w:r>
    </w:p>
    <w:p w:rsidR="00AF6C6C" w:rsidRDefault="00EB7696">
      <w:r>
        <w:t xml:space="preserve">Health </w:t>
      </w:r>
      <w:r w:rsidR="00782F4B">
        <w:t xml:space="preserve">&amp; safety and health </w:t>
      </w:r>
      <w:r>
        <w:t>advocacy</w:t>
      </w:r>
    </w:p>
    <w:p w:rsidR="00831794" w:rsidRDefault="00831794">
      <w:r>
        <w:t>Mental Health</w:t>
      </w:r>
    </w:p>
    <w:p w:rsidR="00831794" w:rsidRDefault="00831794">
      <w:r>
        <w:t>H</w:t>
      </w:r>
      <w:r w:rsidR="0008616A">
        <w:t xml:space="preserve">omeless and Vulnerable Persons </w:t>
      </w:r>
      <w:r w:rsidR="004547B1">
        <w:t>with criminal &amp; mental health issues</w:t>
      </w:r>
    </w:p>
    <w:p w:rsidR="00EB7696" w:rsidRDefault="00EB7696">
      <w:pPr>
        <w:rPr>
          <w:b/>
        </w:rPr>
      </w:pPr>
    </w:p>
    <w:p w:rsidR="008117CC" w:rsidRDefault="0047104C">
      <w:pPr>
        <w:rPr>
          <w:b/>
        </w:rPr>
      </w:pPr>
      <w:r>
        <w:rPr>
          <w:b/>
        </w:rPr>
        <w:t>Qualifications</w:t>
      </w:r>
    </w:p>
    <w:p w:rsidR="00667BF4" w:rsidRPr="00667BF4" w:rsidRDefault="00667BF4">
      <w:r w:rsidRPr="00667BF4">
        <w:t>BA Hons</w:t>
      </w:r>
      <w:r w:rsidR="00E17884">
        <w:t>,</w:t>
      </w:r>
      <w:r w:rsidRPr="00667BF4">
        <w:t xml:space="preserve"> LLB</w:t>
      </w:r>
      <w:r w:rsidR="00693209">
        <w:t>:</w:t>
      </w:r>
    </w:p>
    <w:p w:rsidR="00667BF4" w:rsidRDefault="00667BF4" w:rsidP="00693209">
      <w:pPr>
        <w:pStyle w:val="ListParagraph"/>
        <w:numPr>
          <w:ilvl w:val="0"/>
          <w:numId w:val="1"/>
        </w:numPr>
      </w:pPr>
      <w:r w:rsidRPr="00667BF4">
        <w:t>BA Hons – Victoria University of Wellington</w:t>
      </w:r>
    </w:p>
    <w:p w:rsidR="00667BF4" w:rsidRDefault="00875145" w:rsidP="00693209">
      <w:pPr>
        <w:pStyle w:val="ListParagraph"/>
        <w:numPr>
          <w:ilvl w:val="0"/>
          <w:numId w:val="1"/>
        </w:numPr>
      </w:pPr>
      <w:r>
        <w:t xml:space="preserve">LLB – </w:t>
      </w:r>
      <w:r w:rsidR="00667BF4">
        <w:t xml:space="preserve"> University</w:t>
      </w:r>
      <w:r>
        <w:t xml:space="preserve"> of Auckland</w:t>
      </w:r>
    </w:p>
    <w:p w:rsidR="00667BF4" w:rsidRDefault="00667BF4">
      <w:r>
        <w:t>Admitted as barrister and solicito</w:t>
      </w:r>
      <w:r w:rsidR="00E17884">
        <w:t xml:space="preserve">r to High Court of New </w:t>
      </w:r>
      <w:r w:rsidR="003841EF">
        <w:t>Zealand in</w:t>
      </w:r>
      <w:r>
        <w:t xml:space="preserve"> 1994</w:t>
      </w:r>
    </w:p>
    <w:p w:rsidR="00667BF4" w:rsidRDefault="00667BF4">
      <w:r>
        <w:t>Admitted as barrister and solicitor to Su</w:t>
      </w:r>
      <w:r w:rsidR="00E17884">
        <w:t>preme Court of New South Wales in</w:t>
      </w:r>
      <w:r>
        <w:t xml:space="preserve"> 2001</w:t>
      </w:r>
    </w:p>
    <w:p w:rsidR="00667BF4" w:rsidRPr="00667BF4" w:rsidRDefault="00F22B3B">
      <w:r>
        <w:t>Completed LEADR training course in 1999</w:t>
      </w:r>
    </w:p>
    <w:p w:rsidR="00D06916" w:rsidRDefault="00D06916">
      <w:pPr>
        <w:rPr>
          <w:b/>
        </w:rPr>
      </w:pPr>
    </w:p>
    <w:p w:rsidR="005045EB" w:rsidRDefault="005045EB">
      <w:pPr>
        <w:rPr>
          <w:b/>
        </w:rPr>
      </w:pPr>
      <w:r>
        <w:rPr>
          <w:b/>
        </w:rPr>
        <w:t>Academic Awards &amp; Prizes</w:t>
      </w:r>
    </w:p>
    <w:p w:rsidR="00402068" w:rsidRDefault="009C21D5">
      <w:r>
        <w:t>Senior Law Prize -</w:t>
      </w:r>
      <w:r w:rsidR="00402068">
        <w:t xml:space="preserve"> University </w:t>
      </w:r>
      <w:r>
        <w:t>of Auckland</w:t>
      </w:r>
    </w:p>
    <w:p w:rsidR="005045EB" w:rsidRPr="005F5A6D" w:rsidRDefault="00402068">
      <w:r>
        <w:t xml:space="preserve">Sarah Ann Rhodes </w:t>
      </w:r>
      <w:r w:rsidR="00577280">
        <w:t>Scholarship -</w:t>
      </w:r>
      <w:r>
        <w:t xml:space="preserve"> Victoria </w:t>
      </w:r>
      <w:r w:rsidR="005F5A6D">
        <w:t>University of Wellington</w:t>
      </w:r>
    </w:p>
    <w:p w:rsidR="005F5A6D" w:rsidRDefault="005F5A6D">
      <w:pPr>
        <w:rPr>
          <w:b/>
        </w:rPr>
      </w:pPr>
    </w:p>
    <w:p w:rsidR="005045EB" w:rsidRDefault="005045EB">
      <w:pPr>
        <w:rPr>
          <w:b/>
        </w:rPr>
      </w:pPr>
      <w:r>
        <w:rPr>
          <w:b/>
        </w:rPr>
        <w:t xml:space="preserve">Membership </w:t>
      </w:r>
    </w:p>
    <w:p w:rsidR="00402068" w:rsidRDefault="00DB5AF0">
      <w:r>
        <w:t>New Zealand</w:t>
      </w:r>
      <w:r w:rsidR="00402068" w:rsidRPr="00402068">
        <w:t xml:space="preserve"> Law Society</w:t>
      </w:r>
    </w:p>
    <w:p w:rsidR="00402068" w:rsidRDefault="00DB5AF0">
      <w:r>
        <w:t>New Zealand</w:t>
      </w:r>
      <w:r w:rsidR="00402068">
        <w:t xml:space="preserve"> </w:t>
      </w:r>
      <w:proofErr w:type="gramStart"/>
      <w:r w:rsidR="00402068">
        <w:t>Bar</w:t>
      </w:r>
      <w:proofErr w:type="gramEnd"/>
      <w:r w:rsidR="00402068">
        <w:t xml:space="preserve"> Association</w:t>
      </w:r>
    </w:p>
    <w:p w:rsidR="00D06916" w:rsidRDefault="00D06916">
      <w:r>
        <w:t>New Zealand Criminal Bar Association</w:t>
      </w:r>
    </w:p>
    <w:p w:rsidR="00402068" w:rsidRDefault="00402068">
      <w:r>
        <w:t>Auckland District Law Society</w:t>
      </w:r>
    </w:p>
    <w:p w:rsidR="0088403F" w:rsidRDefault="0088403F">
      <w:r>
        <w:t>Mental Health Committee of the Auckland District Law Society</w:t>
      </w:r>
    </w:p>
    <w:p w:rsidR="00402068" w:rsidRPr="00402068" w:rsidRDefault="00402068"/>
    <w:sectPr w:rsidR="00402068" w:rsidRPr="0040206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89" w:rsidRDefault="009A0889" w:rsidP="00256F2F">
      <w:pPr>
        <w:spacing w:after="0" w:line="240" w:lineRule="auto"/>
      </w:pPr>
      <w:r>
        <w:separator/>
      </w:r>
    </w:p>
  </w:endnote>
  <w:endnote w:type="continuationSeparator" w:id="0">
    <w:p w:rsidR="009A0889" w:rsidRDefault="009A0889" w:rsidP="0025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1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F2F" w:rsidRDefault="00256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F2F" w:rsidRDefault="00256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89" w:rsidRDefault="009A0889" w:rsidP="00256F2F">
      <w:pPr>
        <w:spacing w:after="0" w:line="240" w:lineRule="auto"/>
      </w:pPr>
      <w:r>
        <w:separator/>
      </w:r>
    </w:p>
  </w:footnote>
  <w:footnote w:type="continuationSeparator" w:id="0">
    <w:p w:rsidR="009A0889" w:rsidRDefault="009A0889" w:rsidP="0025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2369F"/>
    <w:multiLevelType w:val="hybridMultilevel"/>
    <w:tmpl w:val="796A5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EB"/>
    <w:rsid w:val="0008616A"/>
    <w:rsid w:val="00097EBF"/>
    <w:rsid w:val="000A7A39"/>
    <w:rsid w:val="00137684"/>
    <w:rsid w:val="00160781"/>
    <w:rsid w:val="001B5397"/>
    <w:rsid w:val="00204F56"/>
    <w:rsid w:val="00242CCD"/>
    <w:rsid w:val="00247DC6"/>
    <w:rsid w:val="00256F2F"/>
    <w:rsid w:val="002A4570"/>
    <w:rsid w:val="002B6A44"/>
    <w:rsid w:val="00320BF3"/>
    <w:rsid w:val="00351104"/>
    <w:rsid w:val="00363574"/>
    <w:rsid w:val="003675A3"/>
    <w:rsid w:val="003841EF"/>
    <w:rsid w:val="003940D7"/>
    <w:rsid w:val="00402068"/>
    <w:rsid w:val="004053D5"/>
    <w:rsid w:val="00414569"/>
    <w:rsid w:val="00433BF1"/>
    <w:rsid w:val="00445E1C"/>
    <w:rsid w:val="004547B1"/>
    <w:rsid w:val="0047104C"/>
    <w:rsid w:val="00471D41"/>
    <w:rsid w:val="0048040C"/>
    <w:rsid w:val="004D7568"/>
    <w:rsid w:val="005045EB"/>
    <w:rsid w:val="00505403"/>
    <w:rsid w:val="00577280"/>
    <w:rsid w:val="00580220"/>
    <w:rsid w:val="005D463B"/>
    <w:rsid w:val="005E3196"/>
    <w:rsid w:val="005F5A6D"/>
    <w:rsid w:val="00667BF4"/>
    <w:rsid w:val="00693209"/>
    <w:rsid w:val="00696E9B"/>
    <w:rsid w:val="006A3FF2"/>
    <w:rsid w:val="006D07CA"/>
    <w:rsid w:val="00707DFB"/>
    <w:rsid w:val="00782F4B"/>
    <w:rsid w:val="007850E9"/>
    <w:rsid w:val="007E6C06"/>
    <w:rsid w:val="008113E7"/>
    <w:rsid w:val="008117CC"/>
    <w:rsid w:val="00814352"/>
    <w:rsid w:val="00831794"/>
    <w:rsid w:val="00853ED4"/>
    <w:rsid w:val="00875145"/>
    <w:rsid w:val="0088403F"/>
    <w:rsid w:val="008851F0"/>
    <w:rsid w:val="008C655F"/>
    <w:rsid w:val="008C7D6F"/>
    <w:rsid w:val="008E75A0"/>
    <w:rsid w:val="00932F49"/>
    <w:rsid w:val="009A0889"/>
    <w:rsid w:val="009A1E8D"/>
    <w:rsid w:val="009B61B9"/>
    <w:rsid w:val="009C21D5"/>
    <w:rsid w:val="009D4FB6"/>
    <w:rsid w:val="00A108BF"/>
    <w:rsid w:val="00A550A4"/>
    <w:rsid w:val="00A91A3C"/>
    <w:rsid w:val="00AD5DCB"/>
    <w:rsid w:val="00AE045E"/>
    <w:rsid w:val="00AE214E"/>
    <w:rsid w:val="00AE7CFB"/>
    <w:rsid w:val="00AF40F7"/>
    <w:rsid w:val="00AF6C6C"/>
    <w:rsid w:val="00B44173"/>
    <w:rsid w:val="00B73E4F"/>
    <w:rsid w:val="00B93C59"/>
    <w:rsid w:val="00BA25D9"/>
    <w:rsid w:val="00BA79FB"/>
    <w:rsid w:val="00C036D3"/>
    <w:rsid w:val="00C236E3"/>
    <w:rsid w:val="00CB02B6"/>
    <w:rsid w:val="00CD7947"/>
    <w:rsid w:val="00CF0FD6"/>
    <w:rsid w:val="00D02B09"/>
    <w:rsid w:val="00D06916"/>
    <w:rsid w:val="00D412A7"/>
    <w:rsid w:val="00D83C34"/>
    <w:rsid w:val="00D96E73"/>
    <w:rsid w:val="00DA2129"/>
    <w:rsid w:val="00DA5B67"/>
    <w:rsid w:val="00DB00B2"/>
    <w:rsid w:val="00DB5AF0"/>
    <w:rsid w:val="00E17884"/>
    <w:rsid w:val="00E17CC4"/>
    <w:rsid w:val="00E9736B"/>
    <w:rsid w:val="00EB7696"/>
    <w:rsid w:val="00F22B3B"/>
    <w:rsid w:val="00F53924"/>
    <w:rsid w:val="00F80E35"/>
    <w:rsid w:val="00FB47AA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17D7F-B10E-4AFA-94E9-E5CA810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B6A44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color w:val="5A5A5A"/>
      <w:sz w:val="18"/>
      <w:szCs w:val="1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B6A44"/>
    <w:rPr>
      <w:rFonts w:ascii="Arial" w:eastAsia="Times New Roman" w:hAnsi="Arial" w:cs="Arial"/>
      <w:color w:val="5A5A5A"/>
      <w:sz w:val="18"/>
      <w:szCs w:val="1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B6A44"/>
    <w:rPr>
      <w:color w:val="005184"/>
      <w:u w:val="single"/>
    </w:rPr>
  </w:style>
  <w:style w:type="character" w:styleId="Emphasis">
    <w:name w:val="Emphasis"/>
    <w:basedOn w:val="DefaultParagraphFont"/>
    <w:uiPriority w:val="20"/>
    <w:qFormat/>
    <w:rsid w:val="002B6A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2F"/>
  </w:style>
  <w:style w:type="paragraph" w:styleId="Footer">
    <w:name w:val="footer"/>
    <w:basedOn w:val="Normal"/>
    <w:link w:val="FooterChar"/>
    <w:uiPriority w:val="99"/>
    <w:unhideWhenUsed/>
    <w:rsid w:val="0025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2F"/>
  </w:style>
  <w:style w:type="paragraph" w:styleId="NormalWeb">
    <w:name w:val="Normal (Web)"/>
    <w:basedOn w:val="Normal"/>
    <w:uiPriority w:val="99"/>
    <w:semiHidden/>
    <w:unhideWhenUsed/>
    <w:rsid w:val="00A5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Wing</dc:creator>
  <cp:keywords/>
  <dc:description/>
  <cp:lastModifiedBy>Adrienne Wing</cp:lastModifiedBy>
  <cp:revision>22</cp:revision>
  <cp:lastPrinted>2014-10-02T22:39:00Z</cp:lastPrinted>
  <dcterms:created xsi:type="dcterms:W3CDTF">2017-03-27T03:20:00Z</dcterms:created>
  <dcterms:modified xsi:type="dcterms:W3CDTF">2017-03-27T03:33:00Z</dcterms:modified>
</cp:coreProperties>
</file>